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r>
        <w:t xml:space="preserve"/>
      </w:r>
    </w:p>
    <w:p>
      <w:pPr>
        <w:jc w:val="center"/>
      </w:pPr>
      <w:r>
        <w:drawing>
          <wp:inline distT="0" distB="0" distL="0" distR="0">
            <wp:extent cx="1905000" cy="752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905000" cy="752475"/>
                    </a:xfrm>
                    <a:prstGeom prst="rect">
                      <a:avLst/>
                    </a:prstGeom>
                  </pic:spPr>
                </pic:pic>
              </a:graphicData>
            </a:graphic>
          </wp:inline>
        </w:drawing>
      </w:r>
    </w:p>
    <w:p>
      <w:pPr>
        <w:spacing w:after="0" w:before="160"/>
      </w:pPr>
      <w:r>
        <w:t xml:space="preserve"/>
      </w:r>
    </w:p>
    <w:p>
      <w:pPr>
        <w:spacing w:after="60" w:before="300"/>
        <w:jc w:val="center"/>
      </w:pPr>
      <w:r>
        <w:rPr>
          <w:rFonts w:ascii="Arial" w:cs="Arial" w:eastAsia="Arial" w:hAnsi="Arial"/>
          <w:b/>
          <w:bCs/>
          <w:color w:val="2D2D7B"/>
          <w:sz w:val="80"/>
          <w:szCs w:val="80"/>
        </w:rPr>
        <w:t xml:space="preserve">Safeguarding</w:t>
      </w:r>
    </w:p>
    <w:p>
      <w:pPr>
        <w:spacing w:after="60" w:before="0"/>
        <w:jc w:val="center"/>
      </w:pPr>
      <w:r>
        <w:rPr>
          <w:rFonts w:ascii="Arial" w:cs="Arial" w:eastAsia="Arial" w:hAnsi="Arial"/>
          <w:b/>
          <w:bCs/>
          <w:color w:val="F5C200"/>
          <w:sz w:val="80"/>
          <w:szCs w:val="80"/>
        </w:rPr>
        <w:t xml:space="preserve">Audit Tool</w:t>
      </w:r>
    </w:p>
    <w:p>
      <w:pPr>
        <w:spacing w:after="160" w:before="80"/>
        <w:jc w:val="center"/>
      </w:pPr>
      <w:r>
        <w:rPr>
          <w:rFonts w:ascii="Arial" w:cs="Arial" w:eastAsia="Arial" w:hAnsi="Arial"/>
          <w:color w:val="1A1A3E"/>
          <w:sz w:val="28"/>
          <w:szCs w:val="28"/>
        </w:rPr>
        <w:t xml:space="preserve">Residential Children's Homes — Comprehensive Annual Safeguarding Self-Assessment Instrument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2"/>
                <w:szCs w:val="22"/>
              </w:rPr>
              <w:t xml:space="preserve">For Registered Managers, Designated Safeguarding Leads, Responsible Individuals, and External Auditors</w:t>
            </w:r>
          </w:p>
          <w:p>
            <w:pPr>
              <w:spacing w:after="40" w:before="40"/>
            </w:pPr>
            <w:r>
              <w:rPr>
                <w:rFonts w:ascii="Arial" w:cs="Arial" w:eastAsia="Arial" w:hAnsi="Arial"/>
                <w:b w:val="false"/>
                <w:bCs w:val="false"/>
                <w:color w:val="FFFFFF"/>
                <w:sz w:val="22"/>
                <w:szCs w:val="22"/>
              </w:rPr>
              <w:t xml:space="preserve">Aligned to: Children Act 1989 &amp; 2004 | Children's Homes (England) Regulations 2015 | Quality Standards 2015</w:t>
            </w:r>
          </w:p>
          <w:p>
            <w:pPr>
              <w:spacing w:after="40" w:before="40"/>
            </w:pPr>
            <w:r>
              <w:rPr>
                <w:rFonts w:ascii="Arial" w:cs="Arial" w:eastAsia="Arial" w:hAnsi="Arial"/>
                <w:b w:val="false"/>
                <w:bCs w:val="false"/>
                <w:color w:val="FFFFFF"/>
                <w:sz w:val="22"/>
                <w:szCs w:val="22"/>
              </w:rPr>
              <w:t xml:space="preserve">Working Together to Safeguard Children 2023 | Keeping Children Safe in Education 2024 | ILACS Framework</w:t>
            </w:r>
          </w:p>
          <w:p>
            <w:pPr>
              <w:spacing w:after="40" w:before="40"/>
            </w:pPr>
            <w:r>
              <w:rPr>
                <w:rFonts w:ascii="Arial" w:cs="Arial" w:eastAsia="Arial" w:hAnsi="Arial"/>
                <w:b w:val="false"/>
                <w:bCs w:val="false"/>
                <w:color w:val="FFFFFF"/>
                <w:sz w:val="22"/>
                <w:szCs w:val="22"/>
              </w:rPr>
              <w:t xml:space="preserve">Statutory Guidance on Children Missing from Care | Section 11 Audit Requirements (Children Act 2004)</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0"/>
                <w:szCs w:val="20"/>
              </w:rPr>
              <w:t xml:space="preserve">Home Name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Registered Manager</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Designated Safeguarding Lead</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Responsible Individual</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Date of Audit</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Auditor Name / Role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Type of Audit</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Internal Self-Assessment     ☐ External Audit     ☐ Post-Inspection Review</w:t>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Next Audit Due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Document Reference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IGN-FREE-SAT-001</w:t>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Version</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2.0 — Extended Edition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Scoring Guide</w:t>
            </w:r>
          </w:p>
          <w:p>
            <w:pPr>
              <w:spacing w:after="40" w:before="40"/>
            </w:pPr>
            <w:r>
              <w:rPr>
                <w:rFonts w:ascii="Arial" w:cs="Arial" w:eastAsia="Arial" w:hAnsi="Arial"/>
                <w:b w:val="false"/>
                <w:bCs w:val="false"/>
                <w:color w:val="333333"/>
                <w:sz w:val="22"/>
                <w:szCs w:val="22"/>
              </w:rPr>
              <w:t xml:space="preserve">YES — The statement is fully met. Clear, verifiable evidence is available and would satisfy an Ofsted inspector.</w:t>
            </w:r>
          </w:p>
          <w:p>
            <w:pPr>
              <w:spacing w:after="40" w:before="40"/>
            </w:pPr>
            <w:r>
              <w:rPr>
                <w:rFonts w:ascii="Arial" w:cs="Arial" w:eastAsia="Arial" w:hAnsi="Arial"/>
                <w:b w:val="false"/>
                <w:bCs w:val="false"/>
                <w:color w:val="333333"/>
                <w:sz w:val="22"/>
                <w:szCs w:val="22"/>
              </w:rPr>
              <w:t xml:space="preserve">PARTIAL — The statement is partially met. Some evidence exists but there are gaps, inconsistencies, or areas requiring development.</w:t>
            </w:r>
          </w:p>
          <w:p>
            <w:pPr>
              <w:spacing w:after="40" w:before="40"/>
            </w:pPr>
            <w:r>
              <w:rPr>
                <w:rFonts w:ascii="Arial" w:cs="Arial" w:eastAsia="Arial" w:hAnsi="Arial"/>
                <w:b w:val="false"/>
                <w:bCs w:val="false"/>
                <w:color w:val="333333"/>
                <w:sz w:val="22"/>
                <w:szCs w:val="22"/>
              </w:rPr>
              <w:t xml:space="preserve">NO — The statement is not met. This represents a significant concern that requires immediate or urgent action.</w:t>
            </w:r>
          </w:p>
          <w:p>
            <w:pPr>
              <w:spacing w:after="40" w:before="40"/>
            </w:pPr>
            <w:r>
              <w:rPr>
                <w:rFonts w:ascii="Arial" w:cs="Arial" w:eastAsia="Arial" w:hAnsi="Arial"/>
                <w:b w:val="false"/>
                <w:bCs w:val="false"/>
                <w:color w:val="333333"/>
                <w:sz w:val="22"/>
                <w:szCs w:val="22"/>
              </w:rPr>
              <w:t xml:space="default"/>
            </w:r>
          </w:p>
          <w:p>
            <w:pPr>
              <w:spacing w:after="40" w:before="40"/>
            </w:pPr>
            <w:r>
              <w:rPr>
                <w:rFonts w:ascii="Arial" w:cs="Arial" w:eastAsia="Arial" w:hAnsi="Arial"/>
                <w:b w:val="false"/>
                <w:bCs w:val="false"/>
                <w:color w:val="333333"/>
                <w:sz w:val="19"/>
                <w:szCs w:val="19"/>
              </w:rPr>
              <w:t xml:space="preserve">Use the Evidence / Notes / Actions column to record what evidence was reviewed, what was found, and what action is required.</w:t>
            </w:r>
          </w:p>
          <w:p>
            <w:pPr>
              <w:spacing w:after="40" w:before="40"/>
            </w:pPr>
            <w:r>
              <w:rPr>
                <w:rFonts w:ascii="Arial" w:cs="Arial" w:eastAsia="Arial" w:hAnsi="Arial"/>
                <w:b/>
                <w:bCs/>
                <w:color w:val="C62828"/>
                <w:sz w:val="19"/>
                <w:szCs w:val="19"/>
              </w:rPr>
              <w:t xml:space="preserve">Any NO rating must be transferred to the Action Plan at the end of this document immediately.</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How to Use This Safeguarding Audit Tool</w:t>
      </w:r>
    </w:p>
    <w:p>
      <w:pPr>
        <w:spacing w:after="80" w:before="80"/>
      </w:pPr>
      <w:r>
        <w:rPr>
          <w:rFonts w:ascii="Arial" w:cs="Arial" w:eastAsia="Arial" w:hAnsi="Arial"/>
          <w:color w:val="333333"/>
          <w:sz w:val="22"/>
          <w:szCs w:val="22"/>
        </w:rPr>
        <w:t xml:space="preserve">This tool is designed to give your home an honest, comprehensive picture of the quality of its safeguarding arrangements. It covers ten domains of safeguarding practice — from governance and leadership through to online safety and multi-agency working. Together, these domains reflect the full scope of safeguarding responsibilities under the Children's Homes (England) Regulations 2015 and the associated Quality Standards.</w:t>
      </w:r>
    </w:p>
    <w:p>
      <w:pPr>
        <w:spacing w:after="80" w:before="80"/>
      </w:pPr>
      <w:r>
        <w:rPr>
          <w:rFonts w:ascii="Arial" w:cs="Arial" w:eastAsia="Arial" w:hAnsi="Arial"/>
          <w:color w:val="333333"/>
          <w:sz w:val="22"/>
          <w:szCs w:val="22"/>
        </w:rPr>
        <w:t xml:space="preserve">The audit should be conducted by the Registered Manager and Designated Safeguarding Lead working together, with input from the Responsible Individual. It should be reviewed annually as a minimum, and immediately following any Ofsted inspection, serious safeguarding incident, or change in key personnel.</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Who Should Be Involved in the Audit</w:t>
      </w:r>
    </w:p>
    <w:p>
      <w:pPr>
        <w:pStyle w:val="ListParagraph"/>
        <w:numPr>
          <w:ilvl w:val="0"/>
          <w:numId w:val="2"/>
        </w:numPr>
        <w:spacing w:after="60" w:before="60"/>
      </w:pPr>
      <w:r>
        <w:rPr>
          <w:rFonts w:ascii="Arial" w:cs="Arial" w:eastAsia="Arial" w:hAnsi="Arial"/>
          <w:b w:val="false"/>
          <w:bCs w:val="false"/>
          <w:color w:val="333333"/>
          <w:sz w:val="22"/>
          <w:szCs w:val="22"/>
        </w:rPr>
        <w:t xml:space="preserve">Registered Manager — leads the audit and takes responsibility for the action plan</w:t>
      </w:r>
    </w:p>
    <w:p>
      <w:pPr>
        <w:pStyle w:val="ListParagraph"/>
        <w:numPr>
          <w:ilvl w:val="0"/>
          <w:numId w:val="2"/>
        </w:numPr>
        <w:spacing w:after="60" w:before="60"/>
      </w:pPr>
      <w:r>
        <w:rPr>
          <w:rFonts w:ascii="Arial" w:cs="Arial" w:eastAsia="Arial" w:hAnsi="Arial"/>
          <w:b w:val="false"/>
          <w:bCs w:val="false"/>
          <w:color w:val="333333"/>
          <w:sz w:val="22"/>
          <w:szCs w:val="22"/>
        </w:rPr>
        <w:t xml:space="preserve">Designated Safeguarding Lead — provides specialist input into Sections 1–5</w:t>
      </w:r>
    </w:p>
    <w:p>
      <w:pPr>
        <w:pStyle w:val="ListParagraph"/>
        <w:numPr>
          <w:ilvl w:val="0"/>
          <w:numId w:val="2"/>
        </w:numPr>
        <w:spacing w:after="60" w:before="60"/>
      </w:pPr>
      <w:r>
        <w:rPr>
          <w:rFonts w:ascii="Arial" w:cs="Arial" w:eastAsia="Arial" w:hAnsi="Arial"/>
          <w:b w:val="false"/>
          <w:bCs w:val="false"/>
          <w:color w:val="333333"/>
          <w:sz w:val="22"/>
          <w:szCs w:val="22"/>
        </w:rPr>
        <w:t xml:space="preserve">Responsible Individual — reviews the completed audit and signs off the action plan</w:t>
      </w:r>
    </w:p>
    <w:p>
      <w:pPr>
        <w:pStyle w:val="ListParagraph"/>
        <w:numPr>
          <w:ilvl w:val="0"/>
          <w:numId w:val="2"/>
        </w:numPr>
        <w:spacing w:after="60" w:before="60"/>
      </w:pPr>
      <w:r>
        <w:rPr>
          <w:rFonts w:ascii="Arial" w:cs="Arial" w:eastAsia="Arial" w:hAnsi="Arial"/>
          <w:b w:val="false"/>
          <w:bCs w:val="false"/>
          <w:color w:val="333333"/>
          <w:sz w:val="22"/>
          <w:szCs w:val="22"/>
        </w:rPr>
        <w:t xml:space="preserve">Deputy Manager — contributes to sections on recording, daily practice, and staff knowledge</w:t>
      </w:r>
    </w:p>
    <w:p>
      <w:pPr>
        <w:pStyle w:val="ListParagraph"/>
        <w:numPr>
          <w:ilvl w:val="0"/>
          <w:numId w:val="2"/>
        </w:numPr>
        <w:spacing w:after="60" w:before="60"/>
      </w:pPr>
      <w:r>
        <w:rPr>
          <w:rFonts w:ascii="Arial" w:cs="Arial" w:eastAsia="Arial" w:hAnsi="Arial"/>
          <w:b w:val="false"/>
          <w:bCs w:val="false"/>
          <w:color w:val="333333"/>
          <w:sz w:val="22"/>
          <w:szCs w:val="22"/>
        </w:rPr>
        <w:t xml:space="preserve">External verifier (optional) — an independent reviewer adds significant credibility and objectivity</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How to Conduct the Audit</w:t>
      </w:r>
    </w:p>
    <w:p>
      <w:pPr>
        <w:pStyle w:val="ListParagraph"/>
        <w:numPr>
          <w:ilvl w:val="0"/>
          <w:numId w:val="2"/>
        </w:numPr>
        <w:spacing w:after="60" w:before="60"/>
      </w:pPr>
      <w:r>
        <w:rPr>
          <w:rFonts w:ascii="Arial" w:cs="Arial" w:eastAsia="Arial" w:hAnsi="Arial"/>
          <w:b w:val="false"/>
          <w:bCs w:val="false"/>
          <w:color w:val="333333"/>
          <w:sz w:val="22"/>
          <w:szCs w:val="22"/>
        </w:rPr>
        <w:t xml:space="preserve">Work through each section systematically — do not skip sections</w:t>
      </w:r>
    </w:p>
    <w:p>
      <w:pPr>
        <w:pStyle w:val="ListParagraph"/>
        <w:numPr>
          <w:ilvl w:val="0"/>
          <w:numId w:val="2"/>
        </w:numPr>
        <w:spacing w:after="60" w:before="60"/>
      </w:pPr>
      <w:r>
        <w:rPr>
          <w:rFonts w:ascii="Arial" w:cs="Arial" w:eastAsia="Arial" w:hAnsi="Arial"/>
          <w:b w:val="false"/>
          <w:bCs w:val="false"/>
          <w:color w:val="333333"/>
          <w:sz w:val="22"/>
          <w:szCs w:val="22"/>
        </w:rPr>
        <w:t xml:space="preserve">For each statement, review actual evidence, not assumptions. Look at files, observe practice, ask staff.</w:t>
      </w:r>
    </w:p>
    <w:p>
      <w:pPr>
        <w:pStyle w:val="ListParagraph"/>
        <w:numPr>
          <w:ilvl w:val="0"/>
          <w:numId w:val="2"/>
        </w:numPr>
        <w:spacing w:after="60" w:before="60"/>
      </w:pPr>
      <w:r>
        <w:rPr>
          <w:rFonts w:ascii="Arial" w:cs="Arial" w:eastAsia="Arial" w:hAnsi="Arial"/>
          <w:b w:val="false"/>
          <w:bCs w:val="false"/>
          <w:color w:val="333333"/>
          <w:sz w:val="22"/>
          <w:szCs w:val="22"/>
        </w:rPr>
        <w:t xml:space="preserve">Assign YES, PARTIAL, or NO based on what you can evidence — not what you believe to be true</w:t>
      </w:r>
    </w:p>
    <w:p>
      <w:pPr>
        <w:pStyle w:val="ListParagraph"/>
        <w:numPr>
          <w:ilvl w:val="0"/>
          <w:numId w:val="2"/>
        </w:numPr>
        <w:spacing w:after="60" w:before="60"/>
      </w:pPr>
      <w:r>
        <w:rPr>
          <w:rFonts w:ascii="Arial" w:cs="Arial" w:eastAsia="Arial" w:hAnsi="Arial"/>
          <w:b w:val="false"/>
          <w:bCs w:val="false"/>
          <w:color w:val="333333"/>
          <w:sz w:val="22"/>
          <w:szCs w:val="22"/>
        </w:rPr>
        <w:t xml:space="preserve">Record specific evidence (dates, documents reviewed, names) in the evidence column</w:t>
      </w:r>
    </w:p>
    <w:p>
      <w:pPr>
        <w:pStyle w:val="ListParagraph"/>
        <w:numPr>
          <w:ilvl w:val="0"/>
          <w:numId w:val="2"/>
        </w:numPr>
        <w:spacing w:after="60" w:before="60"/>
      </w:pPr>
      <w:r>
        <w:rPr>
          <w:rFonts w:ascii="Arial" w:cs="Arial" w:eastAsia="Arial" w:hAnsi="Arial"/>
          <w:b w:val="false"/>
          <w:bCs w:val="false"/>
          <w:color w:val="333333"/>
          <w:sz w:val="22"/>
          <w:szCs w:val="22"/>
        </w:rPr>
        <w:t xml:space="preserve">Transfer all PARTIAL and NO ratings to the action plan immediately</w:t>
      </w:r>
    </w:p>
    <w:p>
      <w:pPr>
        <w:pStyle w:val="ListParagraph"/>
        <w:numPr>
          <w:ilvl w:val="0"/>
          <w:numId w:val="2"/>
        </w:numPr>
        <w:spacing w:after="60" w:before="60"/>
      </w:pPr>
      <w:r>
        <w:rPr>
          <w:rFonts w:ascii="Arial" w:cs="Arial" w:eastAsia="Arial" w:hAnsi="Arial"/>
          <w:b w:val="false"/>
          <w:bCs w:val="false"/>
          <w:color w:val="333333"/>
          <w:sz w:val="22"/>
          <w:szCs w:val="22"/>
        </w:rPr>
        <w:t xml:space="preserve">Agree a named lead, priority, and target date for every action</w:t>
      </w:r>
    </w:p>
    <w:p>
      <w:pPr>
        <w:pStyle w:val="ListParagraph"/>
        <w:numPr>
          <w:ilvl w:val="0"/>
          <w:numId w:val="2"/>
        </w:numPr>
        <w:spacing w:after="60" w:before="60"/>
      </w:pPr>
      <w:r>
        <w:rPr>
          <w:rFonts w:ascii="Arial" w:cs="Arial" w:eastAsia="Arial" w:hAnsi="Arial"/>
          <w:b w:val="false"/>
          <w:bCs w:val="false"/>
          <w:color w:val="333333"/>
          <w:sz w:val="22"/>
          <w:szCs w:val="22"/>
        </w:rPr>
        <w:t xml:space="preserve">Review progress against the action plan at every monthly management meeting</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2D7B" w:sz="12"/>
              <w:left w:val="single" w:color="2D2D7B" w:sz="28"/>
              <w:bottom w:val="single" w:color="2D2D7B" w:sz="12"/>
              <w:right w:val="single" w:color="2D2D7B" w:sz="4"/>
            </w:tcBorders>
            <w:shd w:fill="E8EAF6" w:val="clear"/>
            <w:tcMar>
              <w:top w:type="dxa" w:w="160"/>
              <w:left w:type="dxa" w:w="240"/>
              <w:bottom w:type="dxa" w:w="160"/>
              <w:right w:type="dxa" w:w="240"/>
            </w:tcMar>
          </w:tcPr>
          <w:p>
            <w:pPr>
              <w:spacing w:after="40" w:before="40"/>
            </w:pPr>
            <w:r>
              <w:rPr>
                <w:rFonts w:ascii="Arial" w:cs="Arial" w:eastAsia="Arial" w:hAnsi="Arial"/>
                <w:b/>
                <w:bCs/>
                <w:color w:val="1A1A3E"/>
                <w:sz w:val="22"/>
                <w:szCs w:val="22"/>
              </w:rPr>
              <w:t xml:space="preserve">A Note on Honesty</w:t>
            </w:r>
          </w:p>
          <w:p>
            <w:pPr>
              <w:spacing w:after="40" w:before="40"/>
            </w:pPr>
            <w:r>
              <w:rPr>
                <w:rFonts w:ascii="Arial" w:cs="Arial" w:eastAsia="Arial" w:hAnsi="Arial"/>
                <w:b w:val="false"/>
                <w:bCs w:val="false"/>
                <w:color w:val="1A1A3E"/>
                <w:sz w:val="22"/>
                <w:szCs w:val="22"/>
              </w:rPr>
              <w:t xml:space="preserve">The value of this audit is entirely dependent on your honesty. An auditor who marks everything GREEN provides false assurance and puts young people at risk. A PARTIAL or NO rating that is identified, acknowledged, and acted upon is a mark of good management. An inspector who finds a gap that you have already identified and are addressing will view this as a strength, not a weakness.</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Section 1 — Safeguarding Leadership and Governance</w:t>
      </w:r>
    </w:p>
    <w:p>
      <w:pPr>
        <w:spacing w:after="80" w:before="80"/>
      </w:pPr>
      <w:r>
        <w:rPr>
          <w:rFonts w:ascii="Arial" w:cs="Arial" w:eastAsia="Arial" w:hAnsi="Arial"/>
          <w:color w:val="333333"/>
          <w:sz w:val="22"/>
          <w:szCs w:val="22"/>
        </w:rPr>
        <w:t xml:space="preserve">Robust safeguarding governance is the foundation on which all other safeguarding practice rests. Without clear leadership, accountability, and organisational commitment, individual safeguarding actions — however well-intentioned — will be inconsistent and unreliable. This section examines whether your home has the governance structures in place to sustain safe practice over time.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4380"/>
        <w:gridCol w:w="600"/>
        <w:gridCol w:w="800"/>
        <w:gridCol w:w="600"/>
        <w:gridCol w:w="26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60"/>
              <w:right w:type="dxa" w:w="200"/>
            </w:tcMar>
          </w:tcPr>
          <w:p>
            <w:r>
              <w:rPr>
                <w:rFonts w:ascii="Arial" w:cs="Arial" w:eastAsia="Arial" w:hAnsi="Arial"/>
                <w:b/>
                <w:bCs/>
                <w:color w:val="FFFFFF"/>
                <w:sz w:val="24"/>
                <w:szCs w:val="24"/>
              </w:rPr>
              <w:t xml:space="preserve">1. SAFEGUARDING LEADERSHIP AND GOVERNANCE</w:t>
            </w:r>
          </w:p>
          <w:p>
            <w:r>
              <w:rPr>
                <w:rFonts w:ascii="Arial" w:cs="Arial" w:eastAsia="Arial" w:hAnsi="Arial"/>
                <w:color w:val="CCCCCC"/>
                <w:sz w:val="18"/>
                <w:szCs w:val="18"/>
              </w:rPr>
              <w:t xml:space="preserve">Quality Standard 7 | Children's Homes Regulations 2015 — Reg 12, 36, 40</w:t>
            </w:r>
          </w:p>
        </w:tc>
      </w:tr>
      <w:tr>
        <w:tc>
          <w:tcPr>
            <w:tcW w:type="dxa" w:w="38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8"/>
                <w:szCs w:val="18"/>
              </w:rPr>
              <w:t xml:space="preserve">#</w:t>
            </w:r>
          </w:p>
        </w:tc>
        <w:tc>
          <w:tcPr>
            <w:tcW w:type="dxa" w:w="438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Audit Statement</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YES</w:t>
            </w:r>
          </w:p>
        </w:tc>
        <w:tc>
          <w:tcPr>
            <w:tcW w:type="dxa" w:w="8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PARTIAL</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NO</w:t>
            </w:r>
          </w:p>
        </w:tc>
        <w:tc>
          <w:tcPr>
            <w:tcW w:type="dxa" w:w="26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Evidence / Notes / Actions Required</w:t>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Designated Safeguarding Lead (DSL) is appointed in writing, trained to Level 3 (or equivalent), and their contact details are known and accessible to all staff at all times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 deputy DSL is identified and trained — they can fulfil all DSL functions when the primary DSL is unavailable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DSL participates in regular DSL network meetings or multi-agency safeguarding training to maintain current knowledge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 comprehensive safeguarding and child protection policy is in place, reviewed at least annually, and version-controlled</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Safeguarding is a standing agenda item at every management meeting, and discussions are minuted with actions recorded</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6</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Safeguarding is discussed in all staff supervision sessions — staff regularly reflect on safeguarding concerns and near-misses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7</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whistleblowing policy is in place, understood by all staff, and staff are confident they can raise concerns without fear of retaliation</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8</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has a clear Allegations Against Staff and LADO referral procedure — the RM and DSL know the local LADO contact details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9</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Safer recruitment procedures are in place and followed for every appointment — no exceptions made for temporary, agency, or family staff</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10</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All personnel files contain a complete safer recruitment evidence trail — DBS, two references, employment history, gap explanations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Regulation 40 notifications are made promptly for all qualifying events. A Regulation 40 log is maintained with Ofsted reference numbers.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Responsible Individual is actively involved in safeguarding oversight — not just passive receipt of reports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home participates in Section 11 audits when required by the Local Safeguarding Children Partnership (LSCP)</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Learning from Serious Case Reviews, Child Safeguarding Practice Reviews (CSPRs), and local learning reviews is incorporated into training and practice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Section 2 — Child Protection Knowledge and Practice</w:t>
      </w:r>
    </w:p>
    <w:p>
      <w:pPr>
        <w:spacing w:after="80" w:before="80"/>
      </w:pPr>
      <w:r>
        <w:rPr>
          <w:rFonts w:ascii="Arial" w:cs="Arial" w:eastAsia="Arial" w:hAnsi="Arial"/>
          <w:color w:val="333333"/>
          <w:sz w:val="22"/>
          <w:szCs w:val="22"/>
        </w:rPr>
        <w:t xml:space="preserve">Knowledge alone does not protect children. But staff who lack the knowledge to recognise abuse, understand their reporting duties, and respond appropriately are a safeguarding risk — regardless of their goodwill. This section examines whether your team has the depth of knowledge needed to fulfil their safeguarding responsibilities consistently and confidently.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4380"/>
        <w:gridCol w:w="600"/>
        <w:gridCol w:w="800"/>
        <w:gridCol w:w="600"/>
        <w:gridCol w:w="26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60"/>
              <w:right w:type="dxa" w:w="200"/>
            </w:tcMar>
          </w:tcPr>
          <w:p>
            <w:r>
              <w:rPr>
                <w:rFonts w:ascii="Arial" w:cs="Arial" w:eastAsia="Arial" w:hAnsi="Arial"/>
                <w:b/>
                <w:bCs/>
                <w:color w:val="FFFFFF"/>
                <w:sz w:val="24"/>
                <w:szCs w:val="24"/>
              </w:rPr>
              <w:t xml:space="preserve">2. CHILD PROTECTION KNOWLEDGE AND PRACTICE</w:t>
            </w:r>
          </w:p>
          <w:p>
            <w:r>
              <w:rPr>
                <w:rFonts w:ascii="Arial" w:cs="Arial" w:eastAsia="Arial" w:hAnsi="Arial"/>
                <w:color w:val="CCCCCC"/>
                <w:sz w:val="18"/>
                <w:szCs w:val="18"/>
              </w:rPr>
              <w:t xml:space="preserve">Children Act 1989 &amp; 2004 | Working Together to Safeguard Children 2023 | Quality Standard 1</w:t>
            </w:r>
          </w:p>
        </w:tc>
      </w:tr>
      <w:tr>
        <w:tc>
          <w:tcPr>
            <w:tcW w:type="dxa" w:w="38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8"/>
                <w:szCs w:val="18"/>
              </w:rPr>
              <w:t xml:space="preserve">#</w:t>
            </w:r>
          </w:p>
        </w:tc>
        <w:tc>
          <w:tcPr>
            <w:tcW w:type="dxa" w:w="438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Audit Statement</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YES</w:t>
            </w:r>
          </w:p>
        </w:tc>
        <w:tc>
          <w:tcPr>
            <w:tcW w:type="dxa" w:w="8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PARTIAL</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NO</w:t>
            </w:r>
          </w:p>
        </w:tc>
        <w:tc>
          <w:tcPr>
            <w:tcW w:type="dxa" w:w="26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Evidence / Notes / Actions Required</w:t>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have completed accredited safeguarding training (minimum Level 1/2) within the last 12 months — no gaps in the training matrix</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All staff can clearly identify and describe the four categories of abuse (physical, sexual, emotional, neglect) and provide examples of each</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understand the difference between a safeguarding concern, a referral to children's services, and a Section 47 enquiry</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All staff know that they have an individual, non-delegable duty to report concerns — they cannot be instructed not to report by any manager</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know the name and contact details of the DSL, the deputy DSL, and MASH / children's services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6</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Out-of-hours referral pathways are known to all staff and information is accessible on every shift</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7</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understand the concept of significant harm and can apply it to scenarios involving young people in their care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8</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Safeguarding referrals are made without delay when thresholds are met — there is no culture of consultation, checking, or delay before reporting</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9</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safeguarding concerns are recorded on the same day in a factual, signed, timed format — verbatim quotes used where relevant</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10</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Confidentiality is understood correctly — staff know that confidentiality cannot prevent a safeguarding referral</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have received training on the impact of neglect, emotional abuse, and coercive control on children's development</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Peer-on-peer abuse is understood and responded to as a safeguarding concern — not normalised as "just what young people do"</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Female Genital Mutilation (FGM) mandatory reporting duty is understood by all relevant staff</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Radicalisation and Prevent awareness training has been completed by all staff within the required timescales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Honour-based abuse, forced marriage, and trafficking are recognised as safeguarding issues — referral procedures are known</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Section 3 — Child Sexual and Criminal Exploitation (CSE / CCE)</w:t>
      </w:r>
    </w:p>
    <w:p>
      <w:pPr>
        <w:spacing w:after="80" w:before="80"/>
      </w:pPr>
      <w:r>
        <w:rPr>
          <w:rFonts w:ascii="Arial" w:cs="Arial" w:eastAsia="Arial" w:hAnsi="Arial"/>
          <w:color w:val="333333"/>
          <w:sz w:val="22"/>
          <w:szCs w:val="22"/>
        </w:rPr>
        <w:t xml:space="preserve">Child exploitation is one of the most significant safeguarding risks for young people in residential care. The home must have proactive, intelligence-led arrangements to identify exploitation risks, respond appropriately, and engage with multi-agency processes. This section examines the depth and currency of your home's response to child exploitation.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4380"/>
        <w:gridCol w:w="600"/>
        <w:gridCol w:w="800"/>
        <w:gridCol w:w="600"/>
        <w:gridCol w:w="26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60"/>
              <w:right w:type="dxa" w:w="200"/>
            </w:tcMar>
          </w:tcPr>
          <w:p>
            <w:r>
              <w:rPr>
                <w:rFonts w:ascii="Arial" w:cs="Arial" w:eastAsia="Arial" w:hAnsi="Arial"/>
                <w:b/>
                <w:bCs/>
                <w:color w:val="FFFFFF"/>
                <w:sz w:val="24"/>
                <w:szCs w:val="24"/>
              </w:rPr>
              <w:t xml:space="preserve">3. CHILD SEXUAL AND CRIMINAL EXPLOITATION (CSE / CCE)</w:t>
            </w:r>
          </w:p>
          <w:p>
            <w:r>
              <w:rPr>
                <w:rFonts w:ascii="Arial" w:cs="Arial" w:eastAsia="Arial" w:hAnsi="Arial"/>
                <w:color w:val="CCCCCC"/>
                <w:sz w:val="18"/>
                <w:szCs w:val="18"/>
              </w:rPr>
              <w:t xml:space="preserve">Working Together 2023 | Statutory Guidance on Children Missing from Care | Quality Standard 1</w:t>
            </w:r>
          </w:p>
        </w:tc>
      </w:tr>
      <w:tr>
        <w:tc>
          <w:tcPr>
            <w:tcW w:type="dxa" w:w="38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8"/>
                <w:szCs w:val="18"/>
              </w:rPr>
              <w:t xml:space="preserve">#</w:t>
            </w:r>
          </w:p>
        </w:tc>
        <w:tc>
          <w:tcPr>
            <w:tcW w:type="dxa" w:w="438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Audit Statement</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YES</w:t>
            </w:r>
          </w:p>
        </w:tc>
        <w:tc>
          <w:tcPr>
            <w:tcW w:type="dxa" w:w="8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PARTIAL</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NO</w:t>
            </w:r>
          </w:p>
        </w:tc>
        <w:tc>
          <w:tcPr>
            <w:tcW w:type="dxa" w:w="26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Evidence / Notes / Actions Required</w:t>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have received training specifically focused on CSE and CCE awareness, including county lines, within the last 12 months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Staff can identify contextual safeguarding risks — risks that exist outside the home, including in peer groups, online, and in the wider community</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An individual child exploitation (CE) risk assessment is in place for every young person in the home — current and reviewed regularly</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CE risk assessment uses a recognised framework and considers both CSE and CCE risks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home has an established referral pathway to the local MACE (Multi-Agency Child Exploitation) panel or equivalent multi-agency exploitation forum</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6</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Staff can identify the indicators of grooming, including how grooming operates online and through peer relationships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7</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Staff understand that a child cannot legally consent to exploitation — this understanding is embedded in all practice conversations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8</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All young people returning from missing episodes are assessed for exploitation risk — exploitation intelligence is shared with police and social workers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9</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CE concerns are recorded immediately, factually, and in full — minimising language ("she's streetwise", "he chose this") is absent from records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10</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has made at least one MACE referral or CE intelligence sharing action in the last 12 months where indicators were present</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Young people are educated about online safety, exploitation risks, healthy relationships, and how to access help</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monitors and manages young people's association with unknown adults — particularly those who appear older</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Staff understand the National Referral Mechanism (NRM) and would make an NRM referral where trafficking or modern slavery is suspected</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Returning from missing episodes with unexplained gifts, money, or possession changes triggers an automatic safeguarding review</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Section 4 — Missing from Care Safeguarding</w:t>
      </w:r>
    </w:p>
    <w:p>
      <w:pPr>
        <w:spacing w:after="80" w:before="80"/>
      </w:pPr>
      <w:r>
        <w:rPr>
          <w:rFonts w:ascii="Arial" w:cs="Arial" w:eastAsia="Arial" w:hAnsi="Arial"/>
          <w:color w:val="333333"/>
          <w:sz w:val="22"/>
          <w:szCs w:val="22"/>
        </w:rPr>
        <w:t xml:space="preserve">Missing episodes are among the highest-risk events that occur in a residential children's home. The quality of the home's response — before, during, and after a missing episode — is a direct indicator of the quality of its safeguarding culture. This section examines whether the home's missing from care arrangements are robust, consistent, and child-centred.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4380"/>
        <w:gridCol w:w="600"/>
        <w:gridCol w:w="800"/>
        <w:gridCol w:w="600"/>
        <w:gridCol w:w="26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60"/>
              <w:right w:type="dxa" w:w="200"/>
            </w:tcMar>
          </w:tcPr>
          <w:p>
            <w:r>
              <w:rPr>
                <w:rFonts w:ascii="Arial" w:cs="Arial" w:eastAsia="Arial" w:hAnsi="Arial"/>
                <w:b/>
                <w:bCs/>
                <w:color w:val="FFFFFF"/>
                <w:sz w:val="24"/>
                <w:szCs w:val="24"/>
              </w:rPr>
              <w:t xml:space="preserve">4. MISSING FROM CARE</w:t>
            </w:r>
          </w:p>
          <w:p>
            <w:r>
              <w:rPr>
                <w:rFonts w:ascii="Arial" w:cs="Arial" w:eastAsia="Arial" w:hAnsi="Arial"/>
                <w:color w:val="CCCCCC"/>
                <w:sz w:val="18"/>
                <w:szCs w:val="18"/>
              </w:rPr>
              <w:t xml:space="preserve">Children's Homes Regulations 2015 — Reg 12 | DfE Missing from Care Statutory Guidance 2014 | Quality Standard 1</w:t>
            </w:r>
          </w:p>
        </w:tc>
      </w:tr>
      <w:tr>
        <w:tc>
          <w:tcPr>
            <w:tcW w:type="dxa" w:w="38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8"/>
                <w:szCs w:val="18"/>
              </w:rPr>
              <w:t xml:space="preserve">#</w:t>
            </w:r>
          </w:p>
        </w:tc>
        <w:tc>
          <w:tcPr>
            <w:tcW w:type="dxa" w:w="438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Audit Statement</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YES</w:t>
            </w:r>
          </w:p>
        </w:tc>
        <w:tc>
          <w:tcPr>
            <w:tcW w:type="dxa" w:w="8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PARTIAL</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NO</w:t>
            </w:r>
          </w:p>
        </w:tc>
        <w:tc>
          <w:tcPr>
            <w:tcW w:type="dxa" w:w="26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Evidence / Notes / Actions Required</w:t>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written missing from care (MFC) policy and procedure is in place, current, and followed consistently by all staff on all shifts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All staff know the immediate actions to take when a young person is confirmed missing — they do not need to consult the policy in the moment</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Police are notified immediately when a young person is confirmed missing — notification times are recorded and consistently within 30 minutes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always informs police that the young person is a Looked After Child when reporting a missing episode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Placing authorities are notified within a reasonable timescale (same shift) for all missing episodes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6</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Individual missing from care risk assessments are in place for every young person — current and of sufficient quality</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7</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Risk assessments are reviewed following every missing episode — not just on an annual cycle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8</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Return Home Interviews (RHIs) are offered to every young person following every missing episode — without exception</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9</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RHI completion rates are tracked monthly and any non-completion is documented with reasons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10</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home's response to a young person returning from a missing episode is trauma-informed, warm, and non-punitive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Missing from care records are contemporaneous, complete, and accurately record all notification times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Post-incident reviews are completed within 5 working days of every return, and learning is recorded and acted upon</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Regulation 40 notifications are made for all qualifying missing episodes within 24 hours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Missing from care data is reviewed at management level monthly — patterns are identified and acted upon</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home has a process for escalating police risk grading when the home's assessment of risk is higher than the police assessment</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Section 5 — Physical Safety and Environment</w:t>
      </w:r>
    </w:p>
    <w:p>
      <w:pPr>
        <w:spacing w:after="80" w:before="80"/>
      </w:pPr>
      <w:r>
        <w:rPr>
          <w:rFonts w:ascii="Arial" w:cs="Arial" w:eastAsia="Arial" w:hAnsi="Arial"/>
          <w:color w:val="333333"/>
          <w:sz w:val="22"/>
          <w:szCs w:val="22"/>
        </w:rPr>
        <w:t xml:space="preserve">The physical environment of a children's home carries safeguarding implications. An unsafe, poorly maintained, or inadequately supervised environment increases risk and reduces the home's ability to keep young people safe. This section examines the physical safeguarding arrangements in your home.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4380"/>
        <w:gridCol w:w="600"/>
        <w:gridCol w:w="800"/>
        <w:gridCol w:w="600"/>
        <w:gridCol w:w="26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60"/>
              <w:right w:type="dxa" w:w="200"/>
            </w:tcMar>
          </w:tcPr>
          <w:p>
            <w:r>
              <w:rPr>
                <w:rFonts w:ascii="Arial" w:cs="Arial" w:eastAsia="Arial" w:hAnsi="Arial"/>
                <w:b/>
                <w:bCs/>
                <w:color w:val="FFFFFF"/>
                <w:sz w:val="24"/>
                <w:szCs w:val="24"/>
              </w:rPr>
              <w:t xml:space="preserve">5. PHYSICAL SAFETY AND ENVIRONMENT</w:t>
            </w:r>
          </w:p>
          <w:p>
            <w:r>
              <w:rPr>
                <w:rFonts w:ascii="Arial" w:cs="Arial" w:eastAsia="Arial" w:hAnsi="Arial"/>
                <w:color w:val="CCCCCC"/>
                <w:sz w:val="18"/>
                <w:szCs w:val="18"/>
              </w:rPr>
              <w:t xml:space="preserve">Children's Homes Regulations 2015 — Reg 13 | Health and Safety at Work Act 1974 | Quality Standard 5</w:t>
            </w:r>
          </w:p>
        </w:tc>
      </w:tr>
      <w:tr>
        <w:tc>
          <w:tcPr>
            <w:tcW w:type="dxa" w:w="38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8"/>
                <w:szCs w:val="18"/>
              </w:rPr>
              <w:t xml:space="preserve">#</w:t>
            </w:r>
          </w:p>
        </w:tc>
        <w:tc>
          <w:tcPr>
            <w:tcW w:type="dxa" w:w="438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Audit Statement</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YES</w:t>
            </w:r>
          </w:p>
        </w:tc>
        <w:tc>
          <w:tcPr>
            <w:tcW w:type="dxa" w:w="8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PARTIAL</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NO</w:t>
            </w:r>
          </w:p>
        </w:tc>
        <w:tc>
          <w:tcPr>
            <w:tcW w:type="dxa" w:w="26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Evidence / Notes / Actions Required</w:t>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current, comprehensive health and safety risk assessment exists for all areas of the home and is reviewed at least annually</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Fire safety equipment is in place, maintained, and tested in line with regulatory requirements — certificates are on file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Fire evacuation procedures are practised and recorded at least every six months — all staff know their roles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CCTV is operational (where installed), with a written policy on its use, access, and retention consistent with GDPR</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Visitors to the home sign in and out — procedures for unannounced or unknown visitors are understood by all staff</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6</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Medication is stored in a locked, purpose-built medicines cabinet. Controlled drugs are double-locked and subject to daily stock checks.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7</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Sharps, cleaning chemicals, and hazardous substances are stored securely and inaccessible to young people at all times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8</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Kitchen knives and other potential weapons are stored safely and access is managed appropriately</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9</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ligature risk assessment has been completed and reviewed. Identified risks are managed proportionately.</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10</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Lone working protocols ensure no staff member is ever completely alone with a young person without appropriate protocols in place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Sleeping-in arrangements comply with the staffing ratios and arrangements in the home's Statement of Purpose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physical environment of the home is clean, safe, well-maintained, and conducive to a positive experience for young people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Young people's bedrooms are respected as private spaces — staff always knock before entering and young people can secure their rooms appropriately</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Security of the building is maintained — entry and exit systems are functioning and appropriate to the home's needs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Section 6 — Physical Intervention and Behaviour Management</w:t>
      </w:r>
    </w:p>
    <w:p>
      <w:pPr>
        <w:spacing w:after="80" w:before="80"/>
      </w:pPr>
      <w:r>
        <w:rPr>
          <w:rFonts w:ascii="Arial" w:cs="Arial" w:eastAsia="Arial" w:hAnsi="Arial"/>
          <w:color w:val="333333"/>
          <w:sz w:val="22"/>
          <w:szCs w:val="22"/>
        </w:rPr>
        <w:t xml:space="preserve">The use of physical intervention (restraint) in a children's home is one of the most heavily scrutinised areas of practice. It must be a last resort, applied proportionately, recorded fully, and reviewed thoroughly. A home that uses physical intervention frequently, inconsistently, or without adequate documentation is a serious safeguarding concern.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4380"/>
        <w:gridCol w:w="600"/>
        <w:gridCol w:w="800"/>
        <w:gridCol w:w="600"/>
        <w:gridCol w:w="26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60"/>
              <w:right w:type="dxa" w:w="200"/>
            </w:tcMar>
          </w:tcPr>
          <w:p>
            <w:r>
              <w:rPr>
                <w:rFonts w:ascii="Arial" w:cs="Arial" w:eastAsia="Arial" w:hAnsi="Arial"/>
                <w:b/>
                <w:bCs/>
                <w:color w:val="FFFFFF"/>
                <w:sz w:val="24"/>
                <w:szCs w:val="24"/>
              </w:rPr>
              <w:t xml:space="preserve">6. PHYSICAL INTERVENTION AND BEHAVIOUR MANAGEMENT</w:t>
            </w:r>
          </w:p>
          <w:p>
            <w:r>
              <w:rPr>
                <w:rFonts w:ascii="Arial" w:cs="Arial" w:eastAsia="Arial" w:hAnsi="Arial"/>
                <w:color w:val="CCCCCC"/>
                <w:sz w:val="18"/>
                <w:szCs w:val="18"/>
              </w:rPr>
              <w:t xml:space="preserve">Children's Homes Regulations 2015 — Reg 20 | Quality Standard 1 | PI Framework (relevant accrediting body)</w:t>
            </w:r>
          </w:p>
        </w:tc>
      </w:tr>
      <w:tr>
        <w:tc>
          <w:tcPr>
            <w:tcW w:type="dxa" w:w="38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8"/>
                <w:szCs w:val="18"/>
              </w:rPr>
              <w:t xml:space="preserve">#</w:t>
            </w:r>
          </w:p>
        </w:tc>
        <w:tc>
          <w:tcPr>
            <w:tcW w:type="dxa" w:w="438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Audit Statement</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YES</w:t>
            </w:r>
          </w:p>
        </w:tc>
        <w:tc>
          <w:tcPr>
            <w:tcW w:type="dxa" w:w="8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PARTIAL</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NO</w:t>
            </w:r>
          </w:p>
        </w:tc>
        <w:tc>
          <w:tcPr>
            <w:tcW w:type="dxa" w:w="26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Evidence / Notes / Actions Required</w:t>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written physical intervention policy is in place, consistent with the home's registered PI method and approach</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Only staff who hold current, valid training certificates in the home's approved PI method may use physical intervention</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understand the legal framework for physical intervention — necessary, proportionate, and minimum force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Every incident involving physical intervention is recorded on the same day in full — what happened, what was tried first, what PI was used, duration, and outcome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Body maps are completed for all parties involved in every PI incident — injuries to young person and staff both documented</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6</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 post-incident debrief takes place after every PI — separately with the young person and with the staff involved</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7</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Young people are supported to understand what happened during PI and to express how it made them feel — in writing where possible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8</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PI incidents are reviewed by the Registered Manager within 24 hours of the incident</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9</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Patterns of physical intervention are reviewed at management level monthly — frequency, duration, individuals involved</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10</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Placing authorities are notified following all physical intervention incidents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Regulation 40 notifications are made to Ofsted for serious or repeated physical intervention incidents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home's approach to behaviour management is primarily preventative — PBS plans are in place for all young people with identified behavioural needs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Staff are trained in de-escalation and use it effectively — physical intervention is genuinely a last resort in the home's culture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Unnecessary or disproportionate force has never been used — and staff understand that it would constitute abuse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Section 7 — Recording, Information Sharing, and Data Governance</w:t>
      </w:r>
    </w:p>
    <w:p>
      <w:pPr>
        <w:spacing w:after="80" w:before="80"/>
      </w:pPr>
      <w:r>
        <w:rPr>
          <w:rFonts w:ascii="Arial" w:cs="Arial" w:eastAsia="Arial" w:hAnsi="Arial"/>
          <w:color w:val="333333"/>
          <w:sz w:val="22"/>
          <w:szCs w:val="22"/>
        </w:rPr>
        <w:t xml:space="preserve">The quality of a home's records is both a direct indicator of the quality of its practice and a safeguarding tool in its own right. Poor records obscure risk, undermine multi-agency working, and fail young people whose experiences may need to be understood months or years in the future. This section examines whether your recording standards are consistently high and your information governance is robust.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4380"/>
        <w:gridCol w:w="600"/>
        <w:gridCol w:w="800"/>
        <w:gridCol w:w="600"/>
        <w:gridCol w:w="26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60"/>
              <w:right w:type="dxa" w:w="200"/>
            </w:tcMar>
          </w:tcPr>
          <w:p>
            <w:r>
              <w:rPr>
                <w:rFonts w:ascii="Arial" w:cs="Arial" w:eastAsia="Arial" w:hAnsi="Arial"/>
                <w:b/>
                <w:bCs/>
                <w:color w:val="FFFFFF"/>
                <w:sz w:val="24"/>
                <w:szCs w:val="24"/>
              </w:rPr>
              <w:t xml:space="preserve">7. RECORDING, INFORMATION SHARING, AND DATA GOVERNANCE</w:t>
            </w:r>
          </w:p>
          <w:p>
            <w:r>
              <w:rPr>
                <w:rFonts w:ascii="Arial" w:cs="Arial" w:eastAsia="Arial" w:hAnsi="Arial"/>
                <w:color w:val="CCCCCC"/>
                <w:sz w:val="18"/>
                <w:szCs w:val="18"/>
              </w:rPr>
              <w:t xml:space="preserve">GDPR / Data Protection Act 2018 | Working Together 2023 | Quality Standards</w:t>
            </w:r>
          </w:p>
        </w:tc>
      </w:tr>
      <w:tr>
        <w:tc>
          <w:tcPr>
            <w:tcW w:type="dxa" w:w="38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8"/>
                <w:szCs w:val="18"/>
              </w:rPr>
              <w:t xml:space="preserve">#</w:t>
            </w:r>
          </w:p>
        </w:tc>
        <w:tc>
          <w:tcPr>
            <w:tcW w:type="dxa" w:w="438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Audit Statement</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YES</w:t>
            </w:r>
          </w:p>
        </w:tc>
        <w:tc>
          <w:tcPr>
            <w:tcW w:type="dxa" w:w="8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PARTIAL</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NO</w:t>
            </w:r>
          </w:p>
        </w:tc>
        <w:tc>
          <w:tcPr>
            <w:tcW w:type="dxa" w:w="26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Evidence / Notes / Actions Required</w:t>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understand and apply the distinction between fact and opinion in their written records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Records are written at the time of, or as close as possible to, the event — not reconstructed hours or days later</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Every record entry is signed, timed, and dated by the person who made the entry</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Verbatim quotes from young people (including any disclosures) are recorded in quotation marks and clearly attributed</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Safeguarding-related records are stored securely — either in locked physical files or in a password-protected digital system</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6</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 written information-sharing policy is in place and consistent with Working Together 2023 and GDPR requirements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7</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can describe when they can share information without consent in a safeguarding context — they are not paralysed by confidentiality concerns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8</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Personal data about young people is never communicated via personal mobile phones, personal email, or unencrypted messaging apps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9</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Information is shared with professionals on a need-to-know basis — with justification recorded in the file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10</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All external communications about young people use secure, authorised systems — email encryption, secure file transfer</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Registered Manager conducts regular audits of case records — at least monthly — and poor recording is addressed formally</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Young people's data access requests (Subject Access Requests) are managed correctly within statutory timescales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Data breach procedures are understood and in place — a reportable breach would be notified to the ICO within 72 hours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Paper records are stored securely and disposed of appropriately when no longer required</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Section 8 — Mental Health, Trauma, and Emotional Wellbeing</w:t>
      </w:r>
    </w:p>
    <w:p>
      <w:pPr>
        <w:spacing w:after="80" w:before="80"/>
      </w:pPr>
      <w:r>
        <w:rPr>
          <w:rFonts w:ascii="Arial" w:cs="Arial" w:eastAsia="Arial" w:hAnsi="Arial"/>
          <w:color w:val="333333"/>
          <w:sz w:val="22"/>
          <w:szCs w:val="22"/>
        </w:rPr>
        <w:t xml:space="preserve">Young people in residential care carry disproportionate levels of trauma, adverse childhood experiences, and mental health needs. A home that responds to trauma-driven behaviour punitively, or that fails to access appropriate mental health support, is failing in its safeguarding responsibilities. This section examines whether your home's approach to mental health and trauma is genuinely therapeutic and rights-based.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4380"/>
        <w:gridCol w:w="600"/>
        <w:gridCol w:w="800"/>
        <w:gridCol w:w="600"/>
        <w:gridCol w:w="26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60"/>
              <w:right w:type="dxa" w:w="200"/>
            </w:tcMar>
          </w:tcPr>
          <w:p>
            <w:r>
              <w:rPr>
                <w:rFonts w:ascii="Arial" w:cs="Arial" w:eastAsia="Arial" w:hAnsi="Arial"/>
                <w:b/>
                <w:bCs/>
                <w:color w:val="FFFFFF"/>
                <w:sz w:val="24"/>
                <w:szCs w:val="24"/>
              </w:rPr>
              <w:t xml:space="preserve">8. MENTAL HEALTH, TRAUMA, AND EMOTIONAL WELLBEING</w:t>
            </w:r>
          </w:p>
          <w:p>
            <w:r>
              <w:rPr>
                <w:rFonts w:ascii="Arial" w:cs="Arial" w:eastAsia="Arial" w:hAnsi="Arial"/>
                <w:color w:val="CCCCCC"/>
                <w:sz w:val="18"/>
                <w:szCs w:val="18"/>
              </w:rPr>
              <w:t xml:space="preserve">Children's Homes Quality Standards | NICE Guidance on Child Mental Health | Promoting the Health of Looked-After Children</w:t>
            </w:r>
          </w:p>
        </w:tc>
      </w:tr>
      <w:tr>
        <w:tc>
          <w:tcPr>
            <w:tcW w:type="dxa" w:w="38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8"/>
                <w:szCs w:val="18"/>
              </w:rPr>
              <w:t xml:space="preserve">#</w:t>
            </w:r>
          </w:p>
        </w:tc>
        <w:tc>
          <w:tcPr>
            <w:tcW w:type="dxa" w:w="438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Audit Statement</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YES</w:t>
            </w:r>
          </w:p>
        </w:tc>
        <w:tc>
          <w:tcPr>
            <w:tcW w:type="dxa" w:w="8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PARTIAL</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NO</w:t>
            </w:r>
          </w:p>
        </w:tc>
        <w:tc>
          <w:tcPr>
            <w:tcW w:type="dxa" w:w="26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Evidence / Notes / Actions Required</w:t>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have received training in trauma-informed practice and adverse childhood experiences (ACEs) within the last 12 months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Staff can explain the neurological impact of trauma on behaviour and apply this understanding in their day-to-day responses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Every young person's care plan includes a meaningful, specific section on their emotional and mental health needs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CAMHS or specialist therapeutic support is accessed for all young people with identified mental health needs — no young person is waiting without documented follow-up and advocacy</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Mental health crisis plans are written, accessible to all staff, and regularly reviewed</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6</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Statutory health assessments (SAH) are completed within the required timescales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7</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Self-harm is responded to with compassion and clinical appropriateness — not as a behaviour management issue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8</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Staff are able to regulate their own emotional responses and model calm, consistent, co-regulating behaviour</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9</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De-escalation is used proactively and effectively — staff intervene before situations reach a crisis point</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10</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Young people have access to independent emotional support and advocacy — not just support from the home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Staff wellbeing is actively supported and monitored — secondary trauma and compassion fatigue are recognised as safeguarding risks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Quality reflective practice and clinical supervision are available to staff working with traumatised young people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validated emotional wellbeing assessment tool is used regularly and outcomes inform care planning</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Suicidal ideation and self-harm risk are managed within a clear clinical framework — with CAMHS involvement where appropriate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Section 9 — Online Safety and Digital Risks</w:t>
      </w:r>
    </w:p>
    <w:p>
      <w:pPr>
        <w:spacing w:after="80" w:before="80"/>
      </w:pPr>
      <w:r>
        <w:rPr>
          <w:rFonts w:ascii="Arial" w:cs="Arial" w:eastAsia="Arial" w:hAnsi="Arial"/>
          <w:color w:val="333333"/>
          <w:sz w:val="22"/>
          <w:szCs w:val="22"/>
        </w:rPr>
        <w:t xml:space="preserve">The digital world presents unique and evolving safeguarding risks for young people in residential care. Many of the exploitation risks that young people face begin or are maintained online. A home without a robust, proportionate approach to online safety is leaving its young people significantly more vulnerable. This section examines the quality of your home's digital safeguarding arrangements.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4380"/>
        <w:gridCol w:w="600"/>
        <w:gridCol w:w="800"/>
        <w:gridCol w:w="600"/>
        <w:gridCol w:w="26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60"/>
              <w:right w:type="dxa" w:w="200"/>
            </w:tcMar>
          </w:tcPr>
          <w:p>
            <w:r>
              <w:rPr>
                <w:rFonts w:ascii="Arial" w:cs="Arial" w:eastAsia="Arial" w:hAnsi="Arial"/>
                <w:b/>
                <w:bCs/>
                <w:color w:val="FFFFFF"/>
                <w:sz w:val="24"/>
                <w:szCs w:val="24"/>
              </w:rPr>
              <w:t xml:space="preserve">9. ONLINE SAFETY AND DIGITAL RISKS</w:t>
            </w:r>
          </w:p>
          <w:p>
            <w:r>
              <w:rPr>
                <w:rFonts w:ascii="Arial" w:cs="Arial" w:eastAsia="Arial" w:hAnsi="Arial"/>
                <w:color w:val="CCCCCC"/>
                <w:sz w:val="18"/>
                <w:szCs w:val="18"/>
              </w:rPr>
              <w:t xml:space="preserve">UK Online Safety Act 2023 | KCSIE 2024 (relevant principles) | Quality Standard 1</w:t>
            </w:r>
          </w:p>
        </w:tc>
      </w:tr>
      <w:tr>
        <w:tc>
          <w:tcPr>
            <w:tcW w:type="dxa" w:w="38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8"/>
                <w:szCs w:val="18"/>
              </w:rPr>
              <w:t xml:space="preserve">#</w:t>
            </w:r>
          </w:p>
        </w:tc>
        <w:tc>
          <w:tcPr>
            <w:tcW w:type="dxa" w:w="438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Audit Statement</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YES</w:t>
            </w:r>
          </w:p>
        </w:tc>
        <w:tc>
          <w:tcPr>
            <w:tcW w:type="dxa" w:w="8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PARTIAL</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NO</w:t>
            </w:r>
          </w:p>
        </w:tc>
        <w:tc>
          <w:tcPr>
            <w:tcW w:type="dxa" w:w="26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Evidence / Notes / Actions Required</w:t>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written online safety and acceptable use policy is in place, current, and reviewed at least annually</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All staff have received online safety training, including understanding of grooming through digital means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Young people receive age-appropriate education about online safety, including exploitation risks, sexting, gaming risks, and digital footprint</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home's internet connection has appropriate filtering to prevent access to age-inappropriate or harmful content</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Mobile phone use within the home is managed in line with a written policy — balancing rights with safeguarding</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6</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Staff are categorically prohibited from connecting with young people on personal social media — this is understood by all staff</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7</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Concerns about a young person's online contacts are treated as safeguarding concerns and referred appropriately</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8</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Image-taking (photographs or videos) of young people by staff is prohibited except under specific, written authorisation and a clear purpose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9</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home's image-sharing policy is understood by all staff, young people, and visitors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10</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Online platforms used to facilitate contact between young people and family members are managed safely</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Sexting involving young people in the home is responded to as a safeguarding concern — not as a behaviour management issue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dark web, gambling apps, age-restricted platforms, and gaming platforms with in-built communication are included in online safety discussions with young people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Section 10 — Multi-Agency Working and Safeguarding Partnerships</w:t>
      </w:r>
    </w:p>
    <w:p>
      <w:pPr>
        <w:spacing w:after="80" w:before="80"/>
      </w:pPr>
      <w:r>
        <w:rPr>
          <w:rFonts w:ascii="Arial" w:cs="Arial" w:eastAsia="Arial" w:hAnsi="Arial"/>
          <w:color w:val="333333"/>
          <w:sz w:val="22"/>
          <w:szCs w:val="22"/>
        </w:rPr>
        <w:t xml:space="preserve">Effective safeguarding cannot be delivered by a children's home in isolation. It requires active, constructive, and sometimes challenging engagement with partner agencies — including police, social workers, CAMHS, education, and the Local Safeguarding Children Partnership. This section examines whether your home is a genuine partner in the multi-agency safeguarding system.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4380"/>
        <w:gridCol w:w="600"/>
        <w:gridCol w:w="800"/>
        <w:gridCol w:w="600"/>
        <w:gridCol w:w="26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60"/>
              <w:right w:type="dxa" w:w="200"/>
            </w:tcMar>
          </w:tcPr>
          <w:p>
            <w:r>
              <w:rPr>
                <w:rFonts w:ascii="Arial" w:cs="Arial" w:eastAsia="Arial" w:hAnsi="Arial"/>
                <w:b/>
                <w:bCs/>
                <w:color w:val="FFFFFF"/>
                <w:sz w:val="24"/>
                <w:szCs w:val="24"/>
              </w:rPr>
              <w:t xml:space="preserve">10. MULTI-AGENCY WORKING AND SAFEGUARDING PARTNERSHIPS</w:t>
            </w:r>
          </w:p>
          <w:p>
            <w:r>
              <w:rPr>
                <w:rFonts w:ascii="Arial" w:cs="Arial" w:eastAsia="Arial" w:hAnsi="Arial"/>
                <w:color w:val="CCCCCC"/>
                <w:sz w:val="18"/>
                <w:szCs w:val="18"/>
              </w:rPr>
              <w:t xml:space="preserve">Children Act 2004 — s.11 | Working Together 2023 | LSCP Guidance</w:t>
            </w:r>
          </w:p>
        </w:tc>
      </w:tr>
      <w:tr>
        <w:tc>
          <w:tcPr>
            <w:tcW w:type="dxa" w:w="38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8"/>
                <w:szCs w:val="18"/>
              </w:rPr>
              <w:t xml:space="preserve">#</w:t>
            </w:r>
          </w:p>
        </w:tc>
        <w:tc>
          <w:tcPr>
            <w:tcW w:type="dxa" w:w="438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Audit Statement</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YES</w:t>
            </w:r>
          </w:p>
        </w:tc>
        <w:tc>
          <w:tcPr>
            <w:tcW w:type="dxa" w:w="8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PARTIAL</w:t>
            </w:r>
          </w:p>
        </w:tc>
        <w:tc>
          <w:tcPr>
            <w:tcW w:type="dxa" w:w="600"/>
            <w:tcBorders>
              <w:top w:val="single" w:color="CCCCCC" w:sz="4"/>
              <w:left w:val="single" w:color="CCCCCC" w:sz="4"/>
              <w:bottom w:val="single" w:color="CCCCCC" w:sz="4"/>
              <w:right w:val="single" w:color="CCCCCC" w:sz="4"/>
            </w:tcBorders>
            <w:shd w:fill="3D3D9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NO</w:t>
            </w:r>
          </w:p>
        </w:tc>
        <w:tc>
          <w:tcPr>
            <w:tcW w:type="dxa" w:w="26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8"/>
                <w:szCs w:val="18"/>
              </w:rPr>
              <w:t xml:space="preserve">Evidence / Notes / Actions Required</w:t>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home engages promptly, constructively, and proactively with all multi-agency safeguarding processes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participates in CIN meetings, CP conferences, MACE panels, MARAC, and other multi-agency forums when relevant</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3</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DSL maintains current knowledge of local multi-agency safeguarding arrangements and attends LSCP or DSL network meetings</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4</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Concerns are referred to MASH / children's services without delay when thresholds are met — the home does not informally manage concerns that should be referred</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5</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home has an escalation procedure for when it disagrees with a decision made by another agency about a young person's risk</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6</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shares relevant intelligence with police proactively during missing episodes and when exploitation is suspected</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7</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Section 11 duties are understood and the home participates in Section 11 audits when required</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8</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has a positive, constructive working relationship with placing authorities and allocated social workers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9</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home engages meaningfully with IRO visits and reviews — not just as an administrative requirement</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10</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Safeguarding learning from CSPRs, SCRs, and other practice reviews is obtained and acted upon</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11</w:t>
            </w:r>
          </w:p>
        </w:tc>
        <w:tc>
          <w:tcPr>
            <w:tcW w:type="dxa" w:w="438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home advocates robustly for young people when multi-agency responses are inadequate — and documents this advocacy</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5F5F5"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19"/>
                <w:szCs w:val="19"/>
              </w:rPr>
              <w:t xml:space="preserve"/>
            </w:r>
          </w:p>
        </w:tc>
      </w:tr>
      <w:tr>
        <w:tc>
          <w:tcPr>
            <w:tcW w:type="dxa" w:w="38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b/>
                <w:bCs/>
                <w:color w:val="2D2D7B"/>
                <w:sz w:val="19"/>
                <w:szCs w:val="19"/>
              </w:rPr>
              <w:t xml:space="preserve">12</w:t>
            </w:r>
          </w:p>
        </w:tc>
        <w:tc>
          <w:tcPr>
            <w:tcW w:type="dxa" w:w="43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Information sharing with partner agencies is timely, appropriate, and follows agreed protocols</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8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600"/>
            <w:tcBorders>
              <w:top w:val="single" w:color="CCCCCC" w:sz="4"/>
              <w:left w:val="single" w:color="CCCCCC" w:sz="4"/>
              <w:bottom w:val="single" w:color="CCCCCC" w:sz="4"/>
              <w:right w:val="single" w:color="CCCCCC" w:sz="4"/>
            </w:tcBorders>
            <w:shd w:fill="FFFFFF" w:val="clear"/>
            <w:tcMar>
              <w:top w:type="dxa" w:w="80"/>
              <w:left w:type="dxa" w:w="40"/>
              <w:bottom w:type="dxa" w:w="80"/>
              <w:right w:type="dxa" w:w="40"/>
            </w:tcMar>
          </w:tcPr>
          <w:p>
            <w:pPr>
              <w:jc w:val="center"/>
            </w:pPr>
            <w:r>
              <w:rPr>
                <w:rFonts w:ascii="Arial" w:cs="Arial" w:eastAsia="Arial" w:hAnsi="Arial"/>
                <w:color w:val="2D2D7B"/>
                <w:sz w:val="22"/>
                <w:szCs w:val="22"/>
              </w:rPr>
              <w:t xml:space="preserve">☐</w:t>
            </w:r>
          </w:p>
        </w:tc>
        <w:tc>
          <w:tcPr>
            <w:tcW w:type="dxa" w:w="2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9"/>
                <w:szCs w:val="19"/>
              </w:rPr>
              <w:t xml:space="preserve"/>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Safeguarding Improvement Action Plan</w:t>
      </w:r>
    </w:p>
    <w:p>
      <w:pPr>
        <w:spacing w:after="80" w:before="80"/>
      </w:pPr>
      <w:r>
        <w:rPr>
          <w:rFonts w:ascii="Arial" w:cs="Arial" w:eastAsia="Arial" w:hAnsi="Arial"/>
          <w:color w:val="333333"/>
          <w:sz w:val="22"/>
          <w:szCs w:val="22"/>
        </w:rPr>
        <w:t xml:space="preserve">Every PARTIAL and NO response in this audit must be recorded below. Each action must have a named responsible lead, a priority level (High / Medium / Low), a realistic and dated deadline, and a signed confirmation of completion. This action plan must be reviewed at every monthly management meeting and reported to the Responsible Individual.</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00"/>
        <w:gridCol w:w="3200"/>
        <w:gridCol w:w="1600"/>
        <w:gridCol w:w="700"/>
        <w:gridCol w:w="1200"/>
        <w:gridCol w:w="1500"/>
      </w:tblGrid>
      <w:tr>
        <w:tc>
          <w:tcPr>
            <w:tcW w:type="dxa" w:w="36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w:t>
            </w:r>
          </w:p>
        </w:tc>
        <w:tc>
          <w:tcPr>
            <w:tcW w:type="dxa" w:w="8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Section</w:t>
            </w:r>
          </w:p>
        </w:tc>
        <w:tc>
          <w:tcPr>
            <w:tcW w:type="dxa" w:w="32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Action Required</w:t>
            </w:r>
          </w:p>
        </w:tc>
        <w:tc>
          <w:tcPr>
            <w:tcW w:type="dxa" w:w="16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Lead Person</w:t>
            </w:r>
          </w:p>
        </w:tc>
        <w:tc>
          <w:tcPr>
            <w:tcW w:type="dxa" w:w="7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Priority</w:t>
            </w:r>
          </w:p>
        </w:tc>
        <w:tc>
          <w:tcPr>
            <w:tcW w:type="dxa" w:w="12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Target Date</w:t>
            </w:r>
          </w:p>
        </w:tc>
        <w:tc>
          <w:tcPr>
            <w:tcW w:type="dxa" w:w="15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Date Completed</w:t>
            </w:r>
          </w:p>
        </w:tc>
      </w:tr>
      <w:tr>
        <w:tc>
          <w:tcPr>
            <w:tcW w:type="dxa" w:w="36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1</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2</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3</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4</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5</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6</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7</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8</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9</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10</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11</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12</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13</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14</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FFFFF"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36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b/>
                <w:bCs/>
                <w:color w:val="2D2D7B"/>
                <w:sz w:val="19"/>
                <w:szCs w:val="19"/>
              </w:rPr>
              <w:t xml:space="preserve">15</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6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700"/>
            <w:tcBorders>
              <w:top w:val="single" w:color="CCCCCC" w:sz="4"/>
              <w:left w:val="single" w:color="CCCCCC" w:sz="4"/>
              <w:bottom w:val="single" w:color="CCCCCC" w:sz="4"/>
              <w:right w:val="single" w:color="CCCCCC" w:sz="4"/>
            </w:tcBorders>
            <w:shd w:fill="F5F5F5" w:val="clear"/>
            <w:tcMar>
              <w:top w:type="dxa" w:w="100"/>
              <w:left w:type="dxa" w:w="60"/>
              <w:bottom w:type="dxa" w:w="100"/>
              <w:right w:type="dxa" w:w="60"/>
            </w:tcMar>
          </w:tcPr>
          <w:p>
            <w:pPr>
              <w:jc w:val="center"/>
            </w:pPr>
            <w:r>
              <w:rPr>
                <w:rFonts w:ascii="Arial" w:cs="Arial" w:eastAsia="Arial" w:hAnsi="Arial"/>
                <w:color w:val="777777"/>
                <w:sz w:val="16"/>
                <w:szCs w:val="16"/>
              </w:rPr>
              <w:t xml:space="preserve">H/M/L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5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Audit Sign-Off and Governance Declaration</w:t>
            </w:r>
          </w:p>
          <w:p>
            <w:pPr>
              <w:spacing w:after="40" w:before="40"/>
            </w:pPr>
            <w:r>
              <w:rPr>
                <w:rFonts w:ascii="Arial" w:cs="Arial" w:eastAsia="Arial" w:hAnsi="Arial"/>
                <w:b w:val="false"/>
                <w:bCs w:val="false"/>
                <w:color w:val="333333"/>
                <w:sz w:val="22"/>
                <w:szCs w:val="22"/>
              </w:rPr>
              <w:t xml:space="default"/>
            </w:r>
          </w:p>
          <w:p>
            <w:pPr>
              <w:spacing w:after="40" w:before="40"/>
            </w:pPr>
            <w:r>
              <w:rPr>
                <w:rFonts w:ascii="Arial" w:cs="Arial" w:eastAsia="Arial" w:hAnsi="Arial"/>
                <w:b w:val="false"/>
                <w:bCs w:val="false"/>
                <w:color w:val="333333"/>
                <w:sz w:val="19"/>
                <w:szCs w:val="19"/>
              </w:rPr>
              <w:t xml:space="preserve">We confirm that this safeguarding audit has been conducted honestly and in good faith. The action plan reflects all identified gaps and will be actively monitored to ensure completion.</w:t>
            </w:r>
          </w:p>
          <w:p>
            <w:pPr>
              <w:spacing w:after="40" w:before="40"/>
            </w:pPr>
            <w:r>
              <w:rPr>
                <w:rFonts w:ascii="Arial" w:cs="Arial" w:eastAsia="Arial" w:hAnsi="Arial"/>
                <w:b w:val="false"/>
                <w:bCs w:val="false"/>
                <w:color w:val="333333"/>
                <w:sz w:val="22"/>
                <w:szCs w:val="22"/>
              </w:rPr>
              <w:t xml:space="default"/>
            </w:r>
          </w:p>
          <w:p>
            <w:pPr>
              <w:spacing w:after="40" w:before="40"/>
            </w:pPr>
            <w:r>
              <w:rPr>
                <w:rFonts w:ascii="Arial" w:cs="Arial" w:eastAsia="Arial" w:hAnsi="Arial"/>
                <w:b w:val="false"/>
                <w:bCs w:val="false"/>
                <w:color w:val="333333"/>
                <w:sz w:val="20"/>
                <w:szCs w:val="20"/>
              </w:rPr>
              <w:t xml:space="preserve">Registered Manager:  _____________________________  Signature: ___________________  Date: ___________</w:t>
            </w:r>
          </w:p>
          <w:p>
            <w:pPr>
              <w:spacing w:after="40" w:before="40"/>
            </w:pPr>
            <w:r>
              <w:rPr>
                <w:rFonts w:ascii="Arial" w:cs="Arial" w:eastAsia="Arial" w:hAnsi="Arial"/>
                <w:b w:val="false"/>
                <w:bCs w:val="false"/>
                <w:color w:val="333333"/>
                <w:sz w:val="22"/>
                <w:szCs w:val="22"/>
              </w:rPr>
              <w:t xml:space="default"/>
            </w:r>
          </w:p>
          <w:p>
            <w:pPr>
              <w:spacing w:after="40" w:before="40"/>
            </w:pPr>
            <w:r>
              <w:rPr>
                <w:rFonts w:ascii="Arial" w:cs="Arial" w:eastAsia="Arial" w:hAnsi="Arial"/>
                <w:b w:val="false"/>
                <w:bCs w:val="false"/>
                <w:color w:val="333333"/>
                <w:sz w:val="20"/>
                <w:szCs w:val="20"/>
              </w:rPr>
              <w:t xml:space="preserve">Designated Safeguarding Lead:  _____________________________  Signature: ___________________  Date: ___________</w:t>
            </w:r>
          </w:p>
          <w:p>
            <w:pPr>
              <w:spacing w:after="40" w:before="40"/>
            </w:pPr>
            <w:r>
              <w:rPr>
                <w:rFonts w:ascii="Arial" w:cs="Arial" w:eastAsia="Arial" w:hAnsi="Arial"/>
                <w:b w:val="false"/>
                <w:bCs w:val="false"/>
                <w:color w:val="333333"/>
                <w:sz w:val="22"/>
                <w:szCs w:val="22"/>
              </w:rPr>
              <w:t xml:space="default"/>
            </w:r>
          </w:p>
          <w:p>
            <w:pPr>
              <w:spacing w:after="40" w:before="40"/>
            </w:pPr>
            <w:r>
              <w:rPr>
                <w:rFonts w:ascii="Arial" w:cs="Arial" w:eastAsia="Arial" w:hAnsi="Arial"/>
                <w:b w:val="false"/>
                <w:bCs w:val="false"/>
                <w:color w:val="333333"/>
                <w:sz w:val="20"/>
                <w:szCs w:val="20"/>
              </w:rPr>
              <w:t xml:space="preserve">Responsible Individual:  _____________________________  Signature: ___________________  Date: ___________</w:t>
            </w:r>
          </w:p>
          <w:p>
            <w:pPr>
              <w:spacing w:after="40" w:before="40"/>
            </w:pPr>
            <w:r>
              <w:rPr>
                <w:rFonts w:ascii="Arial" w:cs="Arial" w:eastAsia="Arial" w:hAnsi="Arial"/>
                <w:b w:val="false"/>
                <w:bCs w:val="false"/>
                <w:color w:val="333333"/>
                <w:sz w:val="22"/>
                <w:szCs w:val="22"/>
              </w:rPr>
              <w:t xml:space="default"/>
            </w:r>
          </w:p>
          <w:p>
            <w:pPr>
              <w:spacing w:after="40" w:before="40"/>
            </w:pPr>
            <w:r>
              <w:rPr>
                <w:rFonts w:ascii="Arial" w:cs="Arial" w:eastAsia="Arial" w:hAnsi="Arial"/>
                <w:b w:val="false"/>
                <w:bCs w:val="false"/>
                <w:color w:val="333333"/>
                <w:sz w:val="20"/>
                <w:szCs w:val="20"/>
              </w:rPr>
              <w:t xml:space="preserve">Next Scheduled Audit Date: ________________________    Audit Reference: IGN-FREE-SAT-001</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0"/>
                <w:szCs w:val="20"/>
              </w:rPr>
              <w:t xml:space="preserve">© 2025 Ignite Training Solutions Ltd  |  Free Resource — Not for Resale</w:t>
            </w:r>
          </w:p>
          <w:p>
            <w:pPr>
              <w:spacing w:after="40" w:before="40"/>
            </w:pPr>
            <w:r>
              <w:rPr>
                <w:rFonts w:ascii="Arial" w:cs="Arial" w:eastAsia="Arial" w:hAnsi="Arial"/>
                <w:b w:val="false"/>
                <w:bCs w:val="false"/>
                <w:color w:val="FFFFFF"/>
                <w:sz w:val="19"/>
                <w:szCs w:val="19"/>
              </w:rPr>
              <w:t xml:space="preserve">A proud member of the Ignite Academy — Free Resources for Residential Childcare</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19"/>
                <w:szCs w:val="19"/>
              </w:rPr>
              <w:t xml:space="preserve">Leo@ignitetrainingsolutions.uk  |  07837 420 441  |  www.ignitetrainingsolutions.co.uk</w:t>
            </w:r>
          </w:p>
          <w:p>
            <w:pPr>
              <w:spacing w:after="40" w:before="40"/>
            </w:pPr>
            <w:r>
              <w:rPr>
                <w:rFonts w:ascii="Arial" w:cs="Arial" w:eastAsia="Arial" w:hAnsi="Arial"/>
                <w:b w:val="false"/>
                <w:bCs w:val="false"/>
                <w:color w:val="FFFFFF"/>
                <w:sz w:val="18"/>
                <w:szCs w:val="18"/>
              </w:rPr>
              <w:t xml:space="preserve">15 Simmons Way, Altham, Lancashire, BB5 5WW  |  Company No. 12512472  |  VAT No. 499850713</w:t>
            </w:r>
          </w:p>
          <w:p>
            <w:pPr>
              <w:spacing w:after="40" w:before="40"/>
            </w:pPr>
            <w:r>
              <w:rPr>
                <w:rFonts w:ascii="Arial" w:cs="Arial" w:eastAsia="Arial" w:hAnsi="Arial"/>
                <w:b w:val="false"/>
                <w:bCs w:val="false"/>
                <w:color w:val="FFFFFF"/>
                <w:sz w:val="18"/>
                <w:szCs w:val="18"/>
              </w:rPr>
              <w:t xml:space="preserve">Document Reference: IGN-FREE-SAT-001  |  Version 2.0  |  Review: Minimum 6-monthly / Following Inspection or Significant Event</w:t>
            </w:r>
          </w:p>
        </w:tc>
      </w:tr>
    </w:tbl>
    <w:sectPr>
      <w:headerReference w:type="default" r:id="rId7"/>
      <w:footerReference w:type="default" r:id="rId8"/>
      <w:pgSz w:w="11906" w:h="16838" w:orient="portrait"/>
      <w:pgMar w:top="1440" w:right="1000" w:bottom="144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5C200" w:sz="6"/>
      </w:pBdr>
      <w:tabs>
        <w:tab w:val="right" w:pos="9360"/>
      </w:tabs>
      <w:spacing w:before="80"/>
    </w:pPr>
    <w:r>
      <w:rPr>
        <w:rFonts w:ascii="Arial" w:cs="Arial" w:eastAsia="Arial" w:hAnsi="Arial"/>
        <w:color w:val="666666"/>
        <w:sz w:val="16"/>
        <w:szCs w:val="16"/>
      </w:rPr>
      <w:t xml:space="preserve">© 2025 Ignite Training Solutions Ltd  |  Safeguarding Audit Tool  |  IGN-FREE-SAT-001</w:t>
    </w:r>
    <w:r>
      <w:rPr>
        <w:rFonts w:ascii="Arial" w:cs="Arial" w:eastAsia="Arial" w:hAnsi="Arial"/>
        <w:color w:val="666666"/>
        <w:sz w:val="16"/>
        <w:szCs w:val="16"/>
      </w:rPr>
      <w:t xml:space="preserve">	www.ignitetrainingsolutions.co.uk  |  07837 420 441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5C200" w:sz="10"/>
      </w:pBdr>
      <w:spacing w:after="0"/>
    </w:pPr>
    <w:r>
      <w:drawing>
        <wp:inline distT="0" distB="0" distL="0" distR="0">
          <wp:extent cx="1619250" cy="638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619250" cy="6381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2D2D7B"/>
      <w:sz w:val="40"/>
      <w:szCs w:val="40"/>
    </w:rPr>
  </w:style>
  <w:style w:type="paragraph" w:styleId="Heading2">
    <w:name w:val="Heading 2"/>
    <w:basedOn w:val="Normal"/>
    <w:next w:val="Normal"/>
    <w:qFormat/>
    <w:pPr>
      <w:spacing w:after="100" w:before="320"/>
      <w:outlineLvl w:val="1"/>
    </w:pPr>
    <w:rPr>
      <w:rFonts w:ascii="Arial" w:cs="Arial" w:eastAsia="Arial" w:hAnsi="Arial"/>
      <w:b/>
      <w:bCs/>
      <w:color w:val="1A1A3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5f67db52a78579fba6fed9266c1d1fb1548a256.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5f67db52a78579fba6fed9266c1d1fb1548a25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2026-06-06T18:18:06.790Z</dcterms:created>
  <dcterms:modified xsi:type="dcterms:W3CDTF">2026-06-06T18:18:06.790Z</dcterms:modified>
</cp:coreProperties>
</file>

<file path=docProps/custom.xml><?xml version="1.0" encoding="utf-8"?>
<Properties xmlns="http://schemas.openxmlformats.org/officeDocument/2006/custom-properties" xmlns:vt="http://schemas.openxmlformats.org/officeDocument/2006/docPropsVTypes"/>
</file>